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32177" w:rsidRPr="00A01DEE" w:rsidRDefault="00132177" w:rsidP="00132177">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A10D03" w:rsidRPr="00A10D03">
        <w:rPr>
          <w:b/>
          <w:sz w:val="24"/>
          <w:szCs w:val="24"/>
          <w:lang w:eastAsia="ko-KR"/>
        </w:rPr>
        <w:t>R1-200214</w:t>
      </w:r>
      <w:r w:rsidR="00A10D03">
        <w:rPr>
          <w:b/>
          <w:sz w:val="24"/>
          <w:szCs w:val="24"/>
          <w:lang w:eastAsia="ko-KR"/>
        </w:rPr>
        <w:t>5</w:t>
      </w:r>
      <w:bookmarkStart w:id="2" w:name="_GoBack"/>
      <w:bookmarkEnd w:id="2"/>
    </w:p>
    <w:bookmarkEnd w:id="0"/>
    <w:p w:rsidR="007A57E2" w:rsidRPr="001F2CD1" w:rsidRDefault="00132177" w:rsidP="00132177">
      <w:pPr>
        <w:pStyle w:val="Header"/>
        <w:spacing w:after="240"/>
        <w:rPr>
          <w:rFonts w:eastAsia="Malgun Gothic"/>
          <w:noProof w:val="0"/>
          <w:color w:val="000000"/>
          <w:sz w:val="24"/>
          <w:szCs w:val="24"/>
          <w:lang w:val="en-US" w:eastAsia="ko-KR"/>
        </w:rPr>
      </w:pPr>
      <w:r w:rsidRPr="00905282">
        <w:rPr>
          <w:rFonts w:cs="Arial"/>
          <w:bCs/>
          <w:sz w:val="24"/>
          <w:szCs w:val="24"/>
          <w:lang w:eastAsia="ja-JP"/>
        </w:rPr>
        <w:t>e-Meeting, April 20</w:t>
      </w:r>
      <w:r w:rsidRPr="00905282">
        <w:rPr>
          <w:rFonts w:cs="Arial"/>
          <w:bCs/>
          <w:sz w:val="24"/>
          <w:szCs w:val="24"/>
          <w:vertAlign w:val="superscript"/>
          <w:lang w:eastAsia="ja-JP"/>
        </w:rPr>
        <w:t>th</w:t>
      </w:r>
      <w:r w:rsidRPr="00905282">
        <w:rPr>
          <w:rFonts w:cs="Arial"/>
          <w:bCs/>
          <w:sz w:val="24"/>
          <w:szCs w:val="24"/>
          <w:lang w:eastAsia="ja-JP"/>
        </w:rPr>
        <w:t xml:space="preserve"> – 30</w:t>
      </w:r>
      <w:r w:rsidRPr="00905282">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w:t>
      </w:r>
      <w:r w:rsidR="00BF44B6">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F44B6">
        <w:rPr>
          <w:rFonts w:ascii="Arial" w:eastAsia="Malgun Gothic" w:hAnsi="Arial"/>
          <w:color w:val="000000"/>
          <w:sz w:val="24"/>
        </w:rPr>
        <w:t>U</w:t>
      </w:r>
      <w:r w:rsidR="009A2DD7">
        <w:rPr>
          <w:rFonts w:ascii="Arial" w:eastAsia="Malgun Gothic" w:hAnsi="Arial"/>
          <w:color w:val="000000"/>
          <w:sz w:val="24"/>
        </w:rPr>
        <w:t>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w:t>
      </w:r>
      <w:r w:rsidR="00132177">
        <w:rPr>
          <w:rFonts w:eastAsia="Malgun Gothic"/>
          <w:color w:val="000000"/>
        </w:rPr>
        <w:t>100-e</w:t>
      </w:r>
      <w:r>
        <w:rPr>
          <w:rFonts w:eastAsia="Malgun Gothic"/>
          <w:color w:val="000000"/>
        </w:rPr>
        <w:t xml:space="preserve"> [1].</w:t>
      </w:r>
    </w:p>
    <w:p w:rsidR="00132177" w:rsidRDefault="00132177" w:rsidP="00132177">
      <w:pPr>
        <w:rPr>
          <w:rFonts w:ascii="Calibri" w:hAnsi="Calibri"/>
        </w:rPr>
      </w:pPr>
      <w:r>
        <w:rPr>
          <w:highlight w:val="green"/>
        </w:rPr>
        <w:t>Agreement:</w:t>
      </w:r>
    </w:p>
    <w:p w:rsidR="00132177" w:rsidRDefault="00132177" w:rsidP="00132177">
      <w:r>
        <w:t xml:space="preserve">The TP for TS38.214 in Section 3 of </w:t>
      </w:r>
      <w:hyperlink r:id="rId8" w:history="1">
        <w:r>
          <w:rPr>
            <w:rStyle w:val="Hyperlink"/>
          </w:rPr>
          <w:t>R1-2001286</w:t>
        </w:r>
      </w:hyperlink>
      <w:r>
        <w:t xml:space="preserve"> is agreed.</w:t>
      </w:r>
    </w:p>
    <w:p w:rsidR="00132177" w:rsidRDefault="00132177" w:rsidP="00132177">
      <w:pPr>
        <w:pStyle w:val="BodyText"/>
      </w:pPr>
    </w:p>
    <w:p w:rsidR="00132177" w:rsidRPr="00DE4425" w:rsidRDefault="00132177" w:rsidP="00132177">
      <w:pPr>
        <w:rPr>
          <w:color w:val="000000"/>
          <w:highlight w:val="green"/>
        </w:rPr>
      </w:pPr>
      <w:r w:rsidRPr="00DE4425">
        <w:rPr>
          <w:color w:val="000000"/>
          <w:highlight w:val="green"/>
        </w:rPr>
        <w:t>Agreement:</w:t>
      </w:r>
    </w:p>
    <w:p w:rsidR="00132177" w:rsidRDefault="00132177" w:rsidP="00132177">
      <w:pPr>
        <w:rPr>
          <w:color w:val="000000"/>
          <w:highlight w:val="cyan"/>
        </w:rPr>
      </w:pPr>
      <w:r>
        <w:rPr>
          <w:color w:val="000000"/>
        </w:rPr>
        <w:t xml:space="preserve">The text proposal </w:t>
      </w:r>
      <w:r w:rsidRPr="00DE4425">
        <w:rPr>
          <w:color w:val="000000"/>
        </w:rPr>
        <w:t>in Section 3.1</w:t>
      </w:r>
      <w:r>
        <w:rPr>
          <w:color w:val="000000"/>
        </w:rPr>
        <w:t xml:space="preserve"> of </w:t>
      </w:r>
      <w:hyperlink r:id="rId9" w:history="1">
        <w:r>
          <w:rPr>
            <w:rStyle w:val="Hyperlink"/>
          </w:rPr>
          <w:t>R1-2001287</w:t>
        </w:r>
      </w:hyperlink>
      <w:r>
        <w:rPr>
          <w:color w:val="000000"/>
        </w:rPr>
        <w:t xml:space="preserve"> for TS38.214 is agreed.</w:t>
      </w:r>
    </w:p>
    <w:p w:rsidR="00132177" w:rsidRDefault="00132177" w:rsidP="00132177">
      <w:pPr>
        <w:rPr>
          <w:color w:val="000000"/>
          <w:highlight w:val="cyan"/>
        </w:rPr>
      </w:pPr>
    </w:p>
    <w:p w:rsidR="00132177" w:rsidRPr="00D738E9" w:rsidRDefault="00132177" w:rsidP="00132177">
      <w:r w:rsidRPr="00D738E9">
        <w:rPr>
          <w:highlight w:val="green"/>
        </w:rPr>
        <w:t>Agreement:</w:t>
      </w:r>
    </w:p>
    <w:p w:rsidR="00132177" w:rsidRPr="00D738E9" w:rsidRDefault="00132177" w:rsidP="00132177">
      <w:r w:rsidRPr="00D738E9">
        <w:t>Add the parameter slot offset for an SRS resource when SRS is configured with the higher layer parameter [SRS-for-positioning] and when the higher layer parameter resourceType in SRS-Resource is set to 'aperiodic'.</w:t>
      </w:r>
    </w:p>
    <w:p w:rsidR="00132177" w:rsidRDefault="00132177" w:rsidP="00132177">
      <w:pPr>
        <w:pStyle w:val="ListParagraph"/>
        <w:numPr>
          <w:ilvl w:val="0"/>
          <w:numId w:val="49"/>
        </w:numPr>
        <w:spacing w:after="0"/>
        <w:contextualSpacing w:val="0"/>
      </w:pPr>
      <w:r w:rsidRPr="00D738E9">
        <w:t>Send an LS to RAN2 to inform of the update of higher layer parameters</w:t>
      </w:r>
    </w:p>
    <w:p w:rsidR="00132177" w:rsidRDefault="00132177" w:rsidP="00132177">
      <w:pPr>
        <w:pStyle w:val="ListParagraph"/>
        <w:spacing w:after="0"/>
        <w:ind w:left="0"/>
      </w:pPr>
    </w:p>
    <w:p w:rsidR="00132177" w:rsidRPr="00D738E9" w:rsidRDefault="00132177" w:rsidP="00132177">
      <w:r w:rsidRPr="00D738E9">
        <w:rPr>
          <w:highlight w:val="green"/>
        </w:rPr>
        <w:t>Agreement:</w:t>
      </w:r>
    </w:p>
    <w:p w:rsidR="00132177" w:rsidRPr="00D738E9" w:rsidRDefault="00132177" w:rsidP="00132177">
      <w:r w:rsidRPr="00D738E9">
        <w:t xml:space="preserve">Endorse the </w:t>
      </w:r>
      <w:r>
        <w:t xml:space="preserve">text proposal for TS38.214 </w:t>
      </w:r>
      <w:r w:rsidRPr="00D738E9">
        <w:t xml:space="preserve">in section 3.1 of the summary of the email discussion output in </w:t>
      </w:r>
      <w:hyperlink r:id="rId10" w:history="1">
        <w:r>
          <w:rPr>
            <w:rStyle w:val="Hyperlink"/>
          </w:rPr>
          <w:t>R1-2001288</w:t>
        </w:r>
      </w:hyperlink>
      <w:r>
        <w:t>.</w:t>
      </w:r>
    </w:p>
    <w:p w:rsidR="00132177" w:rsidRDefault="00132177" w:rsidP="00132177">
      <w:pPr>
        <w:pStyle w:val="BodyText"/>
      </w:pPr>
    </w:p>
    <w:p w:rsidR="00132177" w:rsidRDefault="00132177" w:rsidP="00132177">
      <w:pPr>
        <w:rPr>
          <w:rFonts w:ascii="Calibri" w:hAnsi="Calibri"/>
        </w:rPr>
      </w:pPr>
      <w:r>
        <w:rPr>
          <w:highlight w:val="green"/>
        </w:rPr>
        <w:t>Agreement:</w:t>
      </w:r>
    </w:p>
    <w:p w:rsidR="00132177" w:rsidRDefault="00132177" w:rsidP="00132177">
      <w:pPr>
        <w:pStyle w:val="ListParagraph"/>
        <w:numPr>
          <w:ilvl w:val="0"/>
          <w:numId w:val="48"/>
        </w:numPr>
        <w:spacing w:after="0"/>
        <w:contextualSpacing w:val="0"/>
        <w:rPr>
          <w:rFonts w:eastAsia="Times New Roman"/>
        </w:rPr>
      </w:pPr>
      <w:r>
        <w:rPr>
          <w:rFonts w:eastAsia="Times New Roman"/>
        </w:rPr>
        <w:t>The feature of default spatial relation info is not applicable to SRS for positioning</w:t>
      </w:r>
    </w:p>
    <w:p w:rsidR="00132177" w:rsidRDefault="00132177" w:rsidP="00132177">
      <w:pPr>
        <w:pStyle w:val="ListParagraph"/>
        <w:numPr>
          <w:ilvl w:val="0"/>
          <w:numId w:val="48"/>
        </w:numPr>
        <w:spacing w:after="0"/>
        <w:contextualSpacing w:val="0"/>
        <w:rPr>
          <w:rFonts w:eastAsia="Times New Roman"/>
        </w:rPr>
      </w:pPr>
      <w:r>
        <w:rPr>
          <w:rFonts w:eastAsia="Times New Roman"/>
        </w:rPr>
        <w:t>The feature of using one MAC CE to activate one same spatial relation info for multiple SRS resources in multiple CCs is not applicable to SRS for positioning.</w:t>
      </w:r>
    </w:p>
    <w:p w:rsidR="00132177" w:rsidRDefault="00132177" w:rsidP="00132177">
      <w:pPr>
        <w:pStyle w:val="ListParagraph"/>
        <w:numPr>
          <w:ilvl w:val="0"/>
          <w:numId w:val="48"/>
        </w:numPr>
        <w:spacing w:after="0"/>
        <w:contextualSpacing w:val="0"/>
        <w:rPr>
          <w:rFonts w:eastAsia="Times New Roman"/>
        </w:rPr>
      </w:pPr>
      <w:r>
        <w:rPr>
          <w:rFonts w:eastAsia="Times New Roman"/>
        </w:rPr>
        <w:t xml:space="preserve">The text proposal for TS38.214 in Section 3.1 in </w:t>
      </w:r>
      <w:hyperlink r:id="rId11" w:history="1">
        <w:r>
          <w:rPr>
            <w:rStyle w:val="Hyperlink"/>
            <w:rFonts w:eastAsia="Times New Roman"/>
          </w:rPr>
          <w:t>R1-2001289</w:t>
        </w:r>
      </w:hyperlink>
      <w:r>
        <w:rPr>
          <w:rFonts w:eastAsia="Times New Roman"/>
        </w:rPr>
        <w:t xml:space="preserve"> is endorsed.</w:t>
      </w:r>
    </w:p>
    <w:p w:rsidR="008005D2" w:rsidRPr="00132177" w:rsidRDefault="008005D2" w:rsidP="00BF44B6">
      <w:pPr>
        <w:overflowPunct w:val="0"/>
        <w:adjustRightInd w:val="0"/>
        <w:textAlignment w:val="baseline"/>
        <w:rPr>
          <w:lang w:val="x-none"/>
        </w:rPr>
      </w:pPr>
    </w:p>
    <w:p w:rsidR="008005D2" w:rsidRPr="00274730" w:rsidRDefault="008005D2" w:rsidP="008005D2">
      <w:pPr>
        <w:widowControl/>
        <w:wordWrap/>
        <w:autoSpaceDE/>
        <w:autoSpaceDN/>
        <w:ind w:firstLine="284"/>
        <w:rPr>
          <w:lang w:val="en-GB"/>
        </w:rPr>
      </w:pPr>
      <w:r>
        <w:rPr>
          <w:lang w:val="en-GB"/>
        </w:rPr>
        <w:t xml:space="preserve">In this contribution, we discuss the remaining issues for NR </w:t>
      </w:r>
      <w:r w:rsidR="00BF44B6">
        <w:rPr>
          <w:lang w:val="en-GB"/>
        </w:rPr>
        <w:t>U</w:t>
      </w:r>
      <w:r>
        <w:rPr>
          <w:lang w:val="en-GB"/>
        </w:rPr>
        <w:t>L positioning.</w:t>
      </w:r>
    </w:p>
    <w:p w:rsidR="008005D2" w:rsidRDefault="008005D2" w:rsidP="008005D2">
      <w:pPr>
        <w:pStyle w:val="Heading1"/>
      </w:pPr>
      <w:r>
        <w:t xml:space="preserve">NR </w:t>
      </w:r>
      <w:r w:rsidR="00BF44B6">
        <w:t>U</w:t>
      </w:r>
      <w:r>
        <w:t>L PRS design</w:t>
      </w:r>
    </w:p>
    <w:p w:rsidR="00D52E89" w:rsidRDefault="00D52E89" w:rsidP="00D52E89">
      <w:pPr>
        <w:rPr>
          <w:lang w:val="en-GB" w:eastAsia="en-US"/>
        </w:rPr>
      </w:pPr>
    </w:p>
    <w:p w:rsidR="00085A9B" w:rsidRDefault="00463E93" w:rsidP="00085A9B">
      <w:pPr>
        <w:spacing w:after="240"/>
        <w:ind w:firstLine="284"/>
      </w:pPr>
      <w:r>
        <w:rPr>
          <w:lang w:val="en-GB" w:eastAsia="en-US"/>
        </w:rPr>
        <w:t>It has been agreed that t</w:t>
      </w:r>
      <w:r w:rsidR="00D52E89">
        <w:rPr>
          <w:lang w:eastAsia="x-none"/>
        </w:rPr>
        <w:t>he maximum number of supported SRS resource sets for positioning is a UE capability, with configurability of up to 16 resource sets per BWP</w:t>
      </w:r>
      <w:r>
        <w:rPr>
          <w:lang w:eastAsia="x-none"/>
        </w:rPr>
        <w:t xml:space="preserve"> and the v</w:t>
      </w:r>
      <w:r w:rsidR="00D52E89">
        <w:t xml:space="preserve">alues for the UE capability include {1 ,16}. </w:t>
      </w:r>
      <w:r w:rsidR="00085A9B">
        <w:t>Since the number of resources within one resource set can be adjusted, the current values should be enough to support beam sweeping in a variety of cases. Therefore, there is no need to support additional values.</w:t>
      </w:r>
    </w:p>
    <w:p w:rsidR="00D52E89" w:rsidRPr="00085A9B" w:rsidRDefault="00085A9B" w:rsidP="00085A9B">
      <w:pPr>
        <w:spacing w:after="240"/>
        <w:rPr>
          <w:i/>
        </w:rPr>
      </w:pPr>
      <w:r w:rsidRPr="00085A9B">
        <w:rPr>
          <w:b/>
          <w:i/>
        </w:rPr>
        <w:t>Proposa1 1</w:t>
      </w:r>
      <w:r w:rsidRPr="00085A9B">
        <w:rPr>
          <w:i/>
        </w:rPr>
        <w:t xml:space="preserve">: </w:t>
      </w:r>
      <w:r w:rsidR="00463E93" w:rsidRPr="00085A9B">
        <w:rPr>
          <w:i/>
        </w:rPr>
        <w:t xml:space="preserve"> </w:t>
      </w:r>
      <w:r w:rsidRPr="00085A9B">
        <w:rPr>
          <w:i/>
        </w:rPr>
        <w:t>The values for the maximum number of supported SRS resource sets for positioning include {1, 16} only.</w:t>
      </w:r>
    </w:p>
    <w:p w:rsidR="00132177" w:rsidRDefault="00463E93" w:rsidP="00463E93">
      <w:pPr>
        <w:wordWrap/>
        <w:spacing w:before="60" w:after="60" w:line="288" w:lineRule="auto"/>
        <w:ind w:firstLine="284"/>
        <w:jc w:val="both"/>
      </w:pPr>
      <w:r>
        <w:t xml:space="preserve">Another issue is </w:t>
      </w:r>
      <w:r w:rsidR="00132177">
        <w:t xml:space="preserve">the </w:t>
      </w:r>
      <w:r>
        <w:t xml:space="preserve">power control </w:t>
      </w:r>
      <w:r w:rsidR="00132177">
        <w:t>mechanism</w:t>
      </w:r>
      <w:r>
        <w:t xml:space="preserve">. </w:t>
      </w:r>
      <w:r w:rsidR="00132177">
        <w:t>The following text is in 38.213.</w:t>
      </w:r>
    </w:p>
    <w:p w:rsidR="00132177" w:rsidRPr="00B916EC" w:rsidRDefault="00132177" w:rsidP="00132177">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132177" w:rsidRPr="00B916EC" w:rsidRDefault="00132177" w:rsidP="00132177">
      <w:pPr>
        <w:pStyle w:val="EQ"/>
        <w:jc w:val="center"/>
      </w:pPr>
      <w:r>
        <w:rPr>
          <w:position w:val="-32"/>
          <w:lang w:val="en-GB" w:eastAsia="zh-CN"/>
        </w:rPr>
        <w:drawing>
          <wp:inline distT="0" distB="0" distL="0" distR="0">
            <wp:extent cx="4602480" cy="4648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132177" w:rsidRPr="00B916EC" w:rsidRDefault="00132177" w:rsidP="00132177">
      <w:r w:rsidRPr="00B916EC">
        <w:t>where,</w:t>
      </w:r>
      <w:r>
        <w:t xml:space="preserve"> </w:t>
      </w:r>
    </w:p>
    <w:p w:rsidR="00132177" w:rsidRPr="0071532D" w:rsidRDefault="00132177" w:rsidP="00132177">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132177" w:rsidRDefault="00132177" w:rsidP="00132177">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w:t>
      </w:r>
      <w:r w:rsidRPr="00B06441">
        <w:lastRenderedPageBreak/>
        <w:t xml:space="preserve">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 </w:t>
      </w:r>
      <w:r>
        <w:t>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132177" w:rsidRDefault="00132177" w:rsidP="00132177">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132177" w:rsidRPr="00CF25C3" w:rsidRDefault="00132177" w:rsidP="00132177">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132177" w:rsidRDefault="00132177" w:rsidP="00132177">
      <w:pPr>
        <w:wordWrap/>
        <w:spacing w:before="60" w:after="60" w:line="288" w:lineRule="auto"/>
        <w:ind w:firstLine="284"/>
        <w:jc w:val="both"/>
      </w:pPr>
      <w:r>
        <w:t xml:space="preserve">It is mentioned that pathloss of the neighboring cell can be estimated </w:t>
      </w:r>
      <w:r w:rsidRPr="006564DE">
        <w:t xml:space="preserve">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Pr>
          <w:lang w:eastAsia="ja-JP"/>
        </w:rPr>
        <w:t>. Since the same SRS should be received by multiple neighboring cells for positioning, this SRS resource set q</w:t>
      </w:r>
      <w:r w:rsidRPr="00132177">
        <w:rPr>
          <w:vertAlign w:val="subscript"/>
          <w:lang w:eastAsia="ja-JP"/>
        </w:rPr>
        <w:t>s</w:t>
      </w:r>
      <w:r>
        <w:rPr>
          <w:lang w:eastAsia="ja-JP"/>
        </w:rPr>
        <w:t xml:space="preserve"> is supposed to be received by multiple cells using the same transmission power. However, how to choose this transmission power for non-serving cells is not clear.</w:t>
      </w:r>
      <w:r w:rsidR="00A67F07">
        <w:rPr>
          <w:lang w:eastAsia="ja-JP"/>
        </w:rPr>
        <w:t xml:space="preserve"> The natural solution is UE </w:t>
      </w:r>
      <w:r>
        <w:t xml:space="preserve">identifies the </w:t>
      </w:r>
      <w:r w:rsidR="00A67F07">
        <w:t>weakest</w:t>
      </w:r>
      <w:r>
        <w:t xml:space="preserve"> link quality</w:t>
      </w:r>
      <w:r w:rsidR="00A67F07">
        <w:t xml:space="preserve"> and</w:t>
      </w:r>
      <w:r>
        <w:t xml:space="preserve"> </w:t>
      </w:r>
      <w:r w:rsidR="00A67F07">
        <w:t>t</w:t>
      </w:r>
      <w:r>
        <w:t xml:space="preserve">hen UE transmits based on the </w:t>
      </w:r>
      <w:r w:rsidR="00A67F07">
        <w:t>weakest</w:t>
      </w:r>
      <w:r>
        <w:t xml:space="preserve"> link quality as long as it is lower than the maximum allowed transmit power per carrier</w:t>
      </w:r>
      <w:r w:rsidR="00A67F07">
        <w:t xml:space="preserve"> to ensure successful reception of SRS by the non-serving cells</w:t>
      </w:r>
      <w:r>
        <w:t>.</w:t>
      </w:r>
      <w:r w:rsidR="00A67F07">
        <w:t xml:space="preserve"> Therefore, the following TP is proposed.</w:t>
      </w:r>
    </w:p>
    <w:p w:rsidR="00A67F07" w:rsidRDefault="00A67F07" w:rsidP="00132177">
      <w:pPr>
        <w:wordWrap/>
        <w:spacing w:before="60" w:after="60" w:line="288" w:lineRule="auto"/>
        <w:ind w:firstLine="284"/>
        <w:jc w:val="both"/>
      </w:pPr>
      <w:r>
        <w:t>***********************************</w:t>
      </w:r>
      <w:r w:rsidRPr="00A67F07">
        <w:t xml:space="preserve"> </w:t>
      </w:r>
      <w:r>
        <w:t>TP for TS 38.213********************************************</w:t>
      </w:r>
    </w:p>
    <w:p w:rsidR="00A67F07" w:rsidRPr="00B916EC" w:rsidRDefault="00A67F07" w:rsidP="00A67F07">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A67F07" w:rsidRPr="00B916EC" w:rsidRDefault="00A67F07" w:rsidP="00A67F07">
      <w:pPr>
        <w:pStyle w:val="EQ"/>
        <w:jc w:val="center"/>
      </w:pPr>
      <w:r>
        <w:rPr>
          <w:position w:val="-32"/>
          <w:lang w:val="en-GB" w:eastAsia="zh-CN"/>
        </w:rPr>
        <w:drawing>
          <wp:inline distT="0" distB="0" distL="0" distR="0" wp14:anchorId="755437F7" wp14:editId="3AF3E263">
            <wp:extent cx="4602480" cy="464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A67F07" w:rsidRPr="00B916EC" w:rsidRDefault="00A67F07" w:rsidP="00A67F07">
      <w:r w:rsidRPr="00B916EC">
        <w:t>where,</w:t>
      </w:r>
      <w:r>
        <w:t xml:space="preserve"> </w:t>
      </w:r>
    </w:p>
    <w:p w:rsidR="00A67F07" w:rsidRPr="0071532D" w:rsidRDefault="00A67F07" w:rsidP="00A67F07">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A67F07" w:rsidRDefault="00A67F07" w:rsidP="00A67F07">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A67F07" w:rsidRDefault="00A67F07" w:rsidP="00A67F07">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A67F07" w:rsidRPr="00CF25C3" w:rsidRDefault="00A67F07" w:rsidP="00A67F07">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A67F07" w:rsidRDefault="00A67F07" w:rsidP="00A67F07">
      <w:pPr>
        <w:wordWrap/>
        <w:spacing w:before="60" w:after="60" w:line="288" w:lineRule="auto"/>
        <w:ind w:firstLine="284"/>
        <w:jc w:val="both"/>
      </w:pPr>
      <w:r>
        <w:t>***********************************TP for TS 38.213*******************************************</w:t>
      </w:r>
    </w:p>
    <w:p w:rsidR="00463E93" w:rsidRDefault="00463E93" w:rsidP="00463E93">
      <w:pPr>
        <w:wordWrap/>
        <w:spacing w:before="60" w:after="60" w:line="288" w:lineRule="auto"/>
        <w:jc w:val="both"/>
        <w:rPr>
          <w:i/>
        </w:rPr>
      </w:pPr>
      <w:r w:rsidRPr="00FA46FA">
        <w:rPr>
          <w:b/>
          <w:i/>
        </w:rPr>
        <w:t>Proposal 2</w:t>
      </w:r>
      <w:r w:rsidR="00A67F07">
        <w:rPr>
          <w:i/>
        </w:rPr>
        <w:t xml:space="preserve">: </w:t>
      </w:r>
      <w:r w:rsidR="00A67F07" w:rsidRPr="00A67F07">
        <w:rPr>
          <w:i/>
        </w:rPr>
        <w:t xml:space="preserve">UE </w:t>
      </w:r>
      <w:r w:rsidR="00A67F07">
        <w:rPr>
          <w:i/>
        </w:rPr>
        <w:t>should</w:t>
      </w:r>
      <w:r w:rsidR="00A67F07" w:rsidRPr="00A67F07">
        <w:rPr>
          <w:i/>
        </w:rPr>
        <w:t xml:space="preserve"> </w:t>
      </w:r>
      <w:r w:rsidR="00A67F07">
        <w:rPr>
          <w:i/>
        </w:rPr>
        <w:t xml:space="preserve">identify </w:t>
      </w:r>
      <w:r w:rsidR="00A67F07" w:rsidRPr="00A67F07">
        <w:rPr>
          <w:i/>
        </w:rPr>
        <w:t>the weakest link quality and transmit based on the weakest link quality as long as it is lower than the maximum allowed transmit power per carrier to ensure successful reception of SRS by the non-serving cells</w:t>
      </w:r>
      <w:r w:rsidR="00A67F07">
        <w:rPr>
          <w:i/>
        </w:rPr>
        <w:t>. The following TP should be captured in TS 38.213.</w:t>
      </w:r>
    </w:p>
    <w:p w:rsidR="00A67F07" w:rsidRDefault="00A67F07" w:rsidP="00A67F07">
      <w:pPr>
        <w:wordWrap/>
        <w:spacing w:before="60" w:after="60" w:line="288" w:lineRule="auto"/>
        <w:ind w:firstLine="284"/>
        <w:jc w:val="both"/>
      </w:pPr>
      <w:r>
        <w:t>***********************************</w:t>
      </w:r>
      <w:r w:rsidRPr="00A67F07">
        <w:t xml:space="preserve"> </w:t>
      </w:r>
      <w:r>
        <w:t>TP for TS 38.213********************************************</w:t>
      </w:r>
    </w:p>
    <w:p w:rsidR="00A67F07" w:rsidRPr="00B916EC" w:rsidRDefault="00A67F07" w:rsidP="00A67F07">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A67F07" w:rsidRPr="00B916EC" w:rsidRDefault="00A67F07" w:rsidP="00A67F07">
      <w:pPr>
        <w:pStyle w:val="EQ"/>
        <w:jc w:val="center"/>
      </w:pPr>
      <w:r>
        <w:rPr>
          <w:position w:val="-32"/>
          <w:lang w:val="en-GB" w:eastAsia="zh-CN"/>
        </w:rPr>
        <w:drawing>
          <wp:inline distT="0" distB="0" distL="0" distR="0" wp14:anchorId="4C43280F" wp14:editId="4764AB07">
            <wp:extent cx="4602480" cy="4648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A67F07" w:rsidRPr="00B916EC" w:rsidRDefault="00A67F07" w:rsidP="00A67F07">
      <w:r w:rsidRPr="00B916EC">
        <w:t>where,</w:t>
      </w:r>
      <w:r>
        <w:t xml:space="preserve"> </w:t>
      </w:r>
    </w:p>
    <w:p w:rsidR="00A67F07" w:rsidRPr="0071532D" w:rsidRDefault="00A67F07" w:rsidP="00A67F07">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A67F07" w:rsidRDefault="00A67F07" w:rsidP="00A67F07">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A67F07" w:rsidRDefault="00A67F07" w:rsidP="00A67F07">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A67F07" w:rsidRPr="00CF25C3" w:rsidRDefault="00A67F07" w:rsidP="00A67F07">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A67F07" w:rsidRDefault="00A67F07" w:rsidP="00A67F07">
      <w:pPr>
        <w:wordWrap/>
        <w:spacing w:before="60" w:after="60" w:line="288" w:lineRule="auto"/>
        <w:ind w:firstLine="284"/>
        <w:jc w:val="both"/>
      </w:pPr>
      <w:r>
        <w:t>***********************************TP for TS 38.213*******************************************</w:t>
      </w:r>
    </w:p>
    <w:p w:rsidR="00D52E89" w:rsidRPr="00463E93" w:rsidRDefault="00D52E89" w:rsidP="00D52E89">
      <w:pPr>
        <w:rPr>
          <w:lang w:eastAsia="en-US"/>
        </w:rPr>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094092">
        <w:rPr>
          <w:rFonts w:eastAsia="Malgun Gothic"/>
          <w:color w:val="000000"/>
        </w:rPr>
        <w:t>U</w:t>
      </w:r>
      <w:r w:rsidRPr="00954A88">
        <w:rPr>
          <w:rFonts w:eastAsia="Malgun Gothic"/>
          <w:color w:val="000000"/>
        </w:rPr>
        <w:t>L reference signals design for NR positioning</w:t>
      </w:r>
      <w:r>
        <w:rPr>
          <w:rFonts w:eastAsia="Malgun Gothic"/>
          <w:color w:val="000000"/>
        </w:rPr>
        <w:t>. Our proposals are summarized below.</w:t>
      </w:r>
    </w:p>
    <w:p w:rsidR="00085A9B" w:rsidRPr="00085A9B" w:rsidRDefault="00085A9B" w:rsidP="00085A9B">
      <w:pPr>
        <w:spacing w:after="240"/>
        <w:rPr>
          <w:i/>
        </w:rPr>
      </w:pPr>
      <w:r w:rsidRPr="00085A9B">
        <w:rPr>
          <w:b/>
          <w:i/>
        </w:rPr>
        <w:t>Proposa1 1</w:t>
      </w:r>
      <w:r w:rsidRPr="00085A9B">
        <w:rPr>
          <w:i/>
        </w:rPr>
        <w:t>:  The values for the maximum number of supported SRS resource sets for positioning include {1, 16} only.</w:t>
      </w:r>
    </w:p>
    <w:p w:rsidR="00A67F07" w:rsidRDefault="00A67F07" w:rsidP="00A67F07">
      <w:pPr>
        <w:wordWrap/>
        <w:spacing w:before="60" w:after="60" w:line="288" w:lineRule="auto"/>
        <w:jc w:val="both"/>
        <w:rPr>
          <w:i/>
        </w:rPr>
      </w:pPr>
      <w:r w:rsidRPr="00FA46FA">
        <w:rPr>
          <w:b/>
          <w:i/>
        </w:rPr>
        <w:lastRenderedPageBreak/>
        <w:t>Proposal 2</w:t>
      </w:r>
      <w:r>
        <w:rPr>
          <w:i/>
        </w:rPr>
        <w:t xml:space="preserve">: </w:t>
      </w:r>
      <w:r w:rsidRPr="00A67F07">
        <w:rPr>
          <w:i/>
        </w:rPr>
        <w:t xml:space="preserve">UE </w:t>
      </w:r>
      <w:r>
        <w:rPr>
          <w:i/>
        </w:rPr>
        <w:t>should</w:t>
      </w:r>
      <w:r w:rsidRPr="00A67F07">
        <w:rPr>
          <w:i/>
        </w:rPr>
        <w:t xml:space="preserve"> </w:t>
      </w:r>
      <w:r>
        <w:rPr>
          <w:i/>
        </w:rPr>
        <w:t xml:space="preserve">identify </w:t>
      </w:r>
      <w:r w:rsidRPr="00A67F07">
        <w:rPr>
          <w:i/>
        </w:rPr>
        <w:t>the weakest link quality and transmit based on the weakest link quality as long as it is lower than the maximum allowed transmit power per carrier to ensure successful reception of SRS by the non-serving cells</w:t>
      </w:r>
      <w:r>
        <w:rPr>
          <w:i/>
        </w:rPr>
        <w:t>. The following TP should be captured in TS 38.213.</w:t>
      </w:r>
    </w:p>
    <w:p w:rsidR="00A67F07" w:rsidRDefault="00A67F07" w:rsidP="00A67F07">
      <w:pPr>
        <w:wordWrap/>
        <w:spacing w:before="60" w:after="60" w:line="288" w:lineRule="auto"/>
        <w:ind w:firstLine="284"/>
        <w:jc w:val="both"/>
      </w:pPr>
      <w:r>
        <w:t>***********************************</w:t>
      </w:r>
      <w:r w:rsidRPr="00A67F07">
        <w:t xml:space="preserve"> </w:t>
      </w:r>
      <w:r>
        <w:t>TP for TS 38.213********************************************</w:t>
      </w:r>
    </w:p>
    <w:p w:rsidR="00A67F07" w:rsidRPr="00B916EC" w:rsidRDefault="00A67F07" w:rsidP="00A67F07">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UL BWP </w:t>
      </w:r>
      <m:oMath>
        <m:r>
          <w:rPr>
            <w:rFonts w:ascii="Cambria Math" w:hAnsi="Cambria Math"/>
            <w:lang w:eastAsia="ja-JP"/>
          </w:rPr>
          <m:t>b</m:t>
        </m:r>
      </m:oMath>
      <w:r>
        <w:rPr>
          <w:iCs/>
        </w:rPr>
        <w:t xml:space="preserve"> </w:t>
      </w:r>
      <w:r>
        <w:t>of</w:t>
      </w:r>
      <w:r w:rsidRPr="00B916EC">
        <w:t xml:space="preserve"> carrier </w:t>
      </w:r>
      <m:oMath>
        <m:r>
          <w:rPr>
            <w:rFonts w:ascii="Cambria Math" w:hAnsi="Cambria Math"/>
            <w:lang w:eastAsia="ja-JP"/>
          </w:rPr>
          <m:t>f</m:t>
        </m:r>
      </m:oMath>
      <w:r w:rsidRPr="00B916EC">
        <w:rPr>
          <w:iCs/>
        </w:rPr>
        <w:t xml:space="preserve"> of</w:t>
      </w:r>
      <w:r w:rsidRPr="00B916EC">
        <w:t xml:space="preserve"> serving cell </w:t>
      </w:r>
      <m:oMath>
        <m:r>
          <w:rPr>
            <w:rFonts w:ascii="Cambria Math"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hAnsi="Cambria Math"/>
                <w:lang w:eastAsia="ja-JP"/>
              </w:rPr>
              <m:t>i,</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rsidR="00A67F07" w:rsidRPr="00B916EC" w:rsidRDefault="00A67F07" w:rsidP="00A67F07">
      <w:pPr>
        <w:pStyle w:val="EQ"/>
        <w:jc w:val="center"/>
      </w:pPr>
      <w:r>
        <w:rPr>
          <w:position w:val="-32"/>
          <w:lang w:val="en-GB" w:eastAsia="zh-CN"/>
        </w:rPr>
        <w:drawing>
          <wp:inline distT="0" distB="0" distL="0" distR="0" wp14:anchorId="07DDCF84" wp14:editId="636EAD61">
            <wp:extent cx="4602480" cy="4648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2480" cy="464820"/>
                    </a:xfrm>
                    <a:prstGeom prst="rect">
                      <a:avLst/>
                    </a:prstGeom>
                    <a:noFill/>
                    <a:ln>
                      <a:noFill/>
                    </a:ln>
                  </pic:spPr>
                </pic:pic>
              </a:graphicData>
            </a:graphic>
          </wp:inline>
        </w:drawing>
      </w:r>
      <w:r w:rsidRPr="00B916EC">
        <w:t xml:space="preserve"> [dBm]</w:t>
      </w:r>
    </w:p>
    <w:p w:rsidR="00A67F07" w:rsidRPr="00B916EC" w:rsidRDefault="00A67F07" w:rsidP="00A67F07">
      <w:r w:rsidRPr="00B916EC">
        <w:t>where,</w:t>
      </w:r>
      <w:r>
        <w:t xml:space="preserve"> </w:t>
      </w:r>
    </w:p>
    <w:p w:rsidR="00A67F07" w:rsidRPr="0071532D" w:rsidRDefault="00A67F07" w:rsidP="00A67F07">
      <w:pPr>
        <w:pStyle w:val="B1"/>
        <w:ind w:left="630" w:hanging="346"/>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e>
        </m:d>
      </m:oMath>
      <w:r>
        <w:rPr>
          <w:lang w:eastAsia="ja-JP"/>
        </w:rPr>
        <w:t xml:space="preserve"> </w:t>
      </w:r>
      <w:r w:rsidRPr="00324598">
        <w:t>are</w:t>
      </w:r>
      <w:r w:rsidRPr="0071532D">
        <w:t xml:space="preserve"> provided by </w:t>
      </w:r>
      <w:r w:rsidRPr="0071532D">
        <w:rPr>
          <w:i/>
        </w:rPr>
        <w:t>p0</w:t>
      </w:r>
      <w:r w:rsidRPr="0071532D">
        <w:t xml:space="preserve"> </w:t>
      </w:r>
      <w:r>
        <w:t>and</w:t>
      </w:r>
      <w:r w:rsidRPr="00324598">
        <w:rPr>
          <w:i/>
        </w:rPr>
        <w:t xml:space="preserve"> </w:t>
      </w:r>
      <w:r w:rsidRPr="00F15057">
        <w:rPr>
          <w:i/>
        </w:rPr>
        <w:t>alpha</w:t>
      </w:r>
      <w:r w:rsidRPr="00F15057">
        <w:t xml:space="preserve"> </w:t>
      </w:r>
      <w:r>
        <w:t>respectively, f</w:t>
      </w:r>
      <w:r w:rsidRPr="0071532D">
        <w:t xml:space="preserve">or active UL BWP </w:t>
      </w:r>
      <m:oMath>
        <m:r>
          <w:rPr>
            <w:rFonts w:ascii="Cambria Math" w:hAnsi="Cambria Math"/>
            <w:lang w:eastAsia="ja-JP"/>
          </w:rPr>
          <m:t>b</m:t>
        </m:r>
      </m:oMath>
      <w:r w:rsidRPr="0071532D">
        <w:rPr>
          <w:iCs/>
        </w:rPr>
        <w:t xml:space="preserve"> </w:t>
      </w:r>
      <w:r w:rsidRPr="0071532D">
        <w:t xml:space="preserve">of carrier </w:t>
      </w:r>
      <m:oMath>
        <m:r>
          <w:rPr>
            <w:rFonts w:ascii="Cambria Math" w:hAnsi="Cambria Math"/>
            <w:lang w:eastAsia="ja-JP"/>
          </w:rPr>
          <m:t>f</m:t>
        </m:r>
      </m:oMath>
      <w:r w:rsidRPr="0071532D">
        <w:rPr>
          <w:iCs/>
        </w:rPr>
        <w:t xml:space="preserve"> of</w:t>
      </w:r>
      <w:r w:rsidRPr="0071532D">
        <w:t xml:space="preserve"> serving cell </w:t>
      </w:r>
      <m:oMath>
        <m:r>
          <w:rPr>
            <w:rFonts w:ascii="Cambria Math" w:hAnsi="Cambria Math"/>
            <w:lang w:eastAsia="ja-JP"/>
          </w:rPr>
          <m:t>c</m:t>
        </m:r>
      </m:oMath>
      <w:r>
        <w:rPr>
          <w:lang w:eastAsia="ja-JP"/>
        </w:rPr>
        <w:t>,</w:t>
      </w:r>
      <w:r w:rsidRPr="0071532D">
        <w:t xml:space="preserve"> and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71532D">
        <w:t xml:space="preserve"> </w:t>
      </w:r>
      <w:r>
        <w:t>is indicat</w:t>
      </w:r>
      <w:r w:rsidRPr="0071532D">
        <w:t xml:space="preserve">ed by </w:t>
      </w:r>
      <w:r w:rsidRPr="0071532D">
        <w:rPr>
          <w:i/>
        </w:rPr>
        <w:t xml:space="preserve">SRS-ResourceSetId </w:t>
      </w:r>
      <w:r>
        <w:t xml:space="preserve">from </w:t>
      </w:r>
      <w:r w:rsidRPr="00F15057">
        <w:rPr>
          <w:i/>
        </w:rPr>
        <w:t>SRS-ResourceSet</w:t>
      </w:r>
      <w:r>
        <w:t>, and</w:t>
      </w:r>
    </w:p>
    <w:p w:rsidR="00A67F07" w:rsidRDefault="00A67F07" w:rsidP="00A67F07">
      <w:pPr>
        <w:pStyle w:val="B1"/>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oMath>
      <w:r>
        <w:rPr>
          <w:lang w:eastAsia="ja-JP"/>
        </w:rPr>
        <w:t xml:space="preserve"> </w:t>
      </w:r>
      <w:r w:rsidRPr="00B06441">
        <w:t xml:space="preserve">is a downlink </w:t>
      </w:r>
      <w:r w:rsidRPr="006564DE">
        <w:t>pathloss estimate in dB calculated by the UE</w:t>
      </w:r>
      <w:r>
        <w:t xml:space="preserve">, </w:t>
      </w:r>
      <w:r w:rsidRPr="006564DE">
        <w:t xml:space="preserve">as described </w:t>
      </w:r>
      <w:r w:rsidRPr="00B06441">
        <w:t xml:space="preserve">in </w:t>
      </w:r>
      <w:r>
        <w:t>Clause</w:t>
      </w:r>
      <w:r w:rsidRPr="00B06441">
        <w:t xml:space="preserve"> 7.1.1 </w:t>
      </w:r>
      <w:r>
        <w:t>in case of an</w:t>
      </w:r>
      <w:r w:rsidRPr="00B06441">
        <w:t xml:space="preserve"> active DL BWP </w:t>
      </w:r>
      <w:r w:rsidRPr="00B916EC">
        <w:rPr>
          <w:iCs/>
        </w:rPr>
        <w:t>of</w:t>
      </w:r>
      <w:r w:rsidRPr="00B916EC">
        <w:t xml:space="preserve"> </w:t>
      </w:r>
      <w:r>
        <w:t xml:space="preserve">a </w:t>
      </w:r>
      <w:r w:rsidRPr="00B916EC">
        <w:t xml:space="preserve">serving cell </w:t>
      </w:r>
      <m:oMath>
        <m:r>
          <w:rPr>
            <w:rFonts w:ascii="Cambria Math" w:hAnsi="Cambria Math"/>
            <w:lang w:eastAsia="ja-JP"/>
          </w:rPr>
          <m:t>c</m:t>
        </m:r>
      </m:oMath>
      <w:r>
        <w:rPr>
          <w:lang w:eastAsia="ja-JP"/>
        </w:rPr>
        <w:t>,</w:t>
      </w:r>
      <w:r w:rsidRPr="006564DE">
        <w:t xml:space="preserve"> using RS resource indexed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6564DE">
        <w:rPr>
          <w:iCs/>
        </w:rPr>
        <w:t xml:space="preserve"> </w:t>
      </w:r>
      <w:r>
        <w:t>in a serving or</w:t>
      </w:r>
      <w:r w:rsidRPr="006564DE">
        <w:t xml:space="preserve"> non-serving cell </w:t>
      </w:r>
      <w:r>
        <w:t>for</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[6, TS 38.214]</w:t>
      </w:r>
      <w:r w:rsidRPr="00A67F07">
        <w:rPr>
          <w:highlight w:val="yellow"/>
        </w:rPr>
        <w:t xml:space="preserve">, where </w:t>
      </w:r>
      <m:oMath>
        <m:sSub>
          <m:sSubPr>
            <m:ctrlPr>
              <w:rPr>
                <w:rFonts w:ascii="Cambria Math" w:hAnsi="Cambria Math"/>
                <w:i/>
                <w:highlight w:val="yellow"/>
              </w:rPr>
            </m:ctrlPr>
          </m:sSubPr>
          <m:e>
            <m:r>
              <w:rPr>
                <w:rFonts w:ascii="Cambria Math" w:hAnsi="Cambria Math"/>
                <w:highlight w:val="yellow"/>
              </w:rPr>
              <m:t>PL</m:t>
            </m:r>
          </m:e>
          <m:sub>
            <m:r>
              <w:rPr>
                <w:rFonts w:ascii="Cambria Math" w:hAnsi="Cambria Math"/>
                <w:highlight w:val="yellow"/>
              </w:rPr>
              <m:t>b,f,c</m:t>
            </m:r>
          </m:sub>
        </m:sSub>
        <m:d>
          <m:dPr>
            <m:ctrlPr>
              <w:rPr>
                <w:rFonts w:ascii="Cambria Math" w:hAnsi="Cambria Math"/>
                <w:i/>
                <w:highlight w:val="yellow"/>
                <w:lang w:eastAsia="ja-JP"/>
              </w:rPr>
            </m:ctrlPr>
          </m:dPr>
          <m:e>
            <m:sSub>
              <m:sSubPr>
                <m:ctrlPr>
                  <w:rPr>
                    <w:rFonts w:ascii="Cambria Math" w:hAnsi="Cambria Math"/>
                    <w:i/>
                    <w:highlight w:val="yellow"/>
                    <w:lang w:eastAsia="ja-JP"/>
                  </w:rPr>
                </m:ctrlPr>
              </m:sSubPr>
              <m:e>
                <m:r>
                  <w:rPr>
                    <w:rFonts w:ascii="Cambria Math" w:hAnsi="Cambria Math"/>
                    <w:highlight w:val="yellow"/>
                    <w:lang w:eastAsia="ja-JP"/>
                  </w:rPr>
                  <m:t>q</m:t>
                </m:r>
              </m:e>
              <m:sub>
                <m:r>
                  <w:rPr>
                    <w:rFonts w:ascii="Cambria Math" w:hAnsi="Cambria Math"/>
                    <w:highlight w:val="yellow"/>
                    <w:lang w:eastAsia="ja-JP"/>
                  </w:rPr>
                  <m:t>s</m:t>
                </m:r>
              </m:sub>
            </m:sSub>
          </m:e>
        </m:d>
      </m:oMath>
      <w:r w:rsidRPr="00A67F07">
        <w:rPr>
          <w:highlight w:val="yellow"/>
          <w:lang w:eastAsia="ja-JP"/>
        </w:rPr>
        <w:t xml:space="preserve"> </w:t>
      </w:r>
      <w:r w:rsidRPr="00A67F07">
        <w:rPr>
          <w:highlight w:val="yellow"/>
        </w:rPr>
        <w:t>is the smallest value of all measured non-serving cells.</w:t>
      </w:r>
      <w:r>
        <w:t xml:space="preserve"> A configuration for</w:t>
      </w:r>
      <w:r w:rsidRPr="00B06441">
        <w:t xml:space="preserve"> RS resource index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oMath>
      <w:r w:rsidRPr="00B06441">
        <w:t xml:space="preserve"> </w:t>
      </w:r>
      <w:r>
        <w:t>associated with</w:t>
      </w:r>
      <w:r w:rsidRPr="00B06441">
        <w:t xml:space="preserve"> SRS resource set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s</m:t>
            </m:r>
          </m:sub>
        </m:sSub>
      </m:oMath>
      <w:r w:rsidRPr="00B06441">
        <w:t xml:space="preserve"> is provided </w:t>
      </w:r>
      <w:r>
        <w:t>by</w:t>
      </w:r>
      <w:r w:rsidRPr="00B06441">
        <w:t xml:space="preserve"> </w:t>
      </w:r>
      <w:r w:rsidRPr="00B06441">
        <w:rPr>
          <w:i/>
        </w:rPr>
        <w:t>pathlossReferenceRS</w:t>
      </w:r>
      <w:r w:rsidRPr="00B06441">
        <w:t xml:space="preserve"> </w:t>
      </w:r>
    </w:p>
    <w:p w:rsidR="00A67F07" w:rsidRDefault="00A67F07" w:rsidP="00A67F07">
      <w:pPr>
        <w:pStyle w:val="B2"/>
      </w:pPr>
      <w:r>
        <w:t>-</w:t>
      </w:r>
      <w:r>
        <w:tab/>
        <w:t>i</w:t>
      </w:r>
      <w:r w:rsidRPr="00DD5101">
        <w:t xml:space="preserve">f </w:t>
      </w:r>
      <w:r w:rsidRPr="00B06441">
        <w:t xml:space="preserve">a </w:t>
      </w:r>
      <w:r w:rsidRPr="00B06441">
        <w:rPr>
          <w:i/>
        </w:rPr>
        <w:t>ssb-Index</w:t>
      </w:r>
      <w:r>
        <w:t xml:space="preserve"> is provided</w:t>
      </w:r>
      <w:r w:rsidRPr="00F97BF4">
        <w:rPr>
          <w:rFonts w:asciiTheme="majorBidi" w:hAnsiTheme="majorBidi" w:cstheme="majorBidi"/>
          <w:iCs/>
        </w:rPr>
        <w:t>,</w:t>
      </w:r>
      <w:r>
        <w:rPr>
          <w:rFonts w:asciiTheme="majorBidi" w:hAnsiTheme="majorBidi" w:cstheme="majorBidi"/>
          <w:iCs/>
        </w:rPr>
        <w:t xml:space="preserve"> </w:t>
      </w:r>
      <w:r w:rsidRPr="00B916EC">
        <w:rPr>
          <w:i/>
        </w:rPr>
        <w:t>referenceSignalPower</w:t>
      </w:r>
      <w:r>
        <w:t xml:space="preserve"> is provided by </w:t>
      </w:r>
      <w:r w:rsidRPr="003B4338">
        <w:rPr>
          <w:i/>
        </w:rPr>
        <w:t>ss-PBCH-BlockPower</w:t>
      </w:r>
    </w:p>
    <w:p w:rsidR="00A67F07" w:rsidRPr="00CF25C3" w:rsidRDefault="00A67F07" w:rsidP="00A67F07">
      <w:pPr>
        <w:pStyle w:val="B2"/>
      </w:pPr>
      <w:r>
        <w:t>-</w:t>
      </w:r>
      <w:r>
        <w:tab/>
        <w:t>i</w:t>
      </w:r>
      <w:r w:rsidRPr="00DD5101">
        <w:t xml:space="preserve">f </w:t>
      </w:r>
      <w:r w:rsidRPr="00B06441">
        <w:t xml:space="preserve">a </w:t>
      </w:r>
      <w:r>
        <w:rPr>
          <w:i/>
        </w:rPr>
        <w:t>dl</w:t>
      </w:r>
      <w:r w:rsidRPr="00C20E51">
        <w:rPr>
          <w:i/>
        </w:rPr>
        <w:t>-PRS-ResourceId</w:t>
      </w:r>
      <w:r>
        <w:t xml:space="preserve"> is provided, </w:t>
      </w:r>
      <w:r w:rsidRPr="00B916EC">
        <w:rPr>
          <w:i/>
        </w:rPr>
        <w:t>referenceSignalPower</w:t>
      </w:r>
      <w:r>
        <w:t xml:space="preserve"> is provided by </w:t>
      </w:r>
      <w:r w:rsidRPr="00F15057">
        <w:rPr>
          <w:i/>
          <w:lang w:eastAsia="x-none"/>
        </w:rPr>
        <w:t>dl-PRS-ResourcePower</w:t>
      </w:r>
    </w:p>
    <w:p w:rsidR="00A67F07" w:rsidRDefault="00A67F07" w:rsidP="00A67F07">
      <w:pPr>
        <w:wordWrap/>
        <w:spacing w:before="60" w:after="60" w:line="288" w:lineRule="auto"/>
        <w:ind w:firstLine="284"/>
        <w:jc w:val="both"/>
      </w:pPr>
      <w:r>
        <w:t>***********************************TP for TS 38.213*******************************************</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w:t>
      </w:r>
      <w:r w:rsidR="00A67F07">
        <w:rPr>
          <w:bCs/>
          <w:lang w:eastAsia="ja-JP"/>
        </w:rPr>
        <w:t>100-e</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B56" w:rsidRPr="00C47AD2" w:rsidRDefault="00635B56">
      <w:pPr>
        <w:rPr>
          <w:rFonts w:ascii="Arial" w:hAnsi="Arial"/>
          <w:sz w:val="12"/>
        </w:rPr>
      </w:pPr>
      <w:r>
        <w:separator/>
      </w:r>
    </w:p>
  </w:endnote>
  <w:endnote w:type="continuationSeparator" w:id="0">
    <w:p w:rsidR="00635B56" w:rsidRPr="00C47AD2" w:rsidRDefault="00635B5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A10D03">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B56" w:rsidRPr="00C47AD2" w:rsidRDefault="00635B56">
      <w:pPr>
        <w:rPr>
          <w:rFonts w:ascii="Arial" w:hAnsi="Arial"/>
          <w:sz w:val="12"/>
        </w:rPr>
      </w:pPr>
      <w:r>
        <w:separator/>
      </w:r>
    </w:p>
  </w:footnote>
  <w:footnote w:type="continuationSeparator" w:id="0">
    <w:p w:rsidR="00635B56" w:rsidRPr="00C47AD2" w:rsidRDefault="00635B56">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A028C"/>
    <w:multiLevelType w:val="hybridMultilevel"/>
    <w:tmpl w:val="C3E0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7183AB1"/>
    <w:multiLevelType w:val="hybridMultilevel"/>
    <w:tmpl w:val="CF66F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23F3B"/>
    <w:multiLevelType w:val="hybridMultilevel"/>
    <w:tmpl w:val="027CC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F802F7"/>
    <w:multiLevelType w:val="hybridMultilevel"/>
    <w:tmpl w:val="E212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3A04F7"/>
    <w:multiLevelType w:val="hybridMultilevel"/>
    <w:tmpl w:val="D59E8DDE"/>
    <w:lvl w:ilvl="0" w:tplc="08090001">
      <w:start w:val="1"/>
      <w:numFmt w:val="bullet"/>
      <w:lvlText w:val=""/>
      <w:lvlJc w:val="left"/>
      <w:pPr>
        <w:ind w:left="1004" w:hanging="360"/>
      </w:pPr>
      <w:rPr>
        <w:rFonts w:ascii="Symbol" w:hAnsi="Symbol" w:hint="default"/>
      </w:rPr>
    </w:lvl>
    <w:lvl w:ilvl="1" w:tplc="1BACF7F8">
      <w:numFmt w:val="bullet"/>
      <w:lvlText w:val="●"/>
      <w:lvlJc w:val="left"/>
      <w:pPr>
        <w:ind w:left="1724" w:hanging="360"/>
      </w:pPr>
      <w:rPr>
        <w:rFonts w:ascii="MS Mincho" w:eastAsia="MS Mincho" w:hAnsi="Times New Roman" w:cs="Times New Roman" w:hint="eastAsia"/>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4D6D44"/>
    <w:multiLevelType w:val="hybridMultilevel"/>
    <w:tmpl w:val="0D38A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41A72"/>
    <w:multiLevelType w:val="hybridMultilevel"/>
    <w:tmpl w:val="1A0204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7474B"/>
    <w:multiLevelType w:val="hybridMultilevel"/>
    <w:tmpl w:val="9378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6"/>
  </w:num>
  <w:num w:numId="6">
    <w:abstractNumId w:val="48"/>
  </w:num>
  <w:num w:numId="7">
    <w:abstractNumId w:val="28"/>
  </w:num>
  <w:num w:numId="8">
    <w:abstractNumId w:val="24"/>
  </w:num>
  <w:num w:numId="9">
    <w:abstractNumId w:val="46"/>
  </w:num>
  <w:num w:numId="10">
    <w:abstractNumId w:val="4"/>
  </w:num>
  <w:num w:numId="11">
    <w:abstractNumId w:val="10"/>
  </w:num>
  <w:num w:numId="12">
    <w:abstractNumId w:val="47"/>
  </w:num>
  <w:num w:numId="13">
    <w:abstractNumId w:val="3"/>
  </w:num>
  <w:num w:numId="14">
    <w:abstractNumId w:val="21"/>
  </w:num>
  <w:num w:numId="15">
    <w:abstractNumId w:val="8"/>
  </w:num>
  <w:num w:numId="16">
    <w:abstractNumId w:val="37"/>
  </w:num>
  <w:num w:numId="17">
    <w:abstractNumId w:val="5"/>
  </w:num>
  <w:num w:numId="18">
    <w:abstractNumId w:val="29"/>
  </w:num>
  <w:num w:numId="19">
    <w:abstractNumId w:val="44"/>
  </w:num>
  <w:num w:numId="20">
    <w:abstractNumId w:val="12"/>
  </w:num>
  <w:num w:numId="21">
    <w:abstractNumId w:val="32"/>
  </w:num>
  <w:num w:numId="22">
    <w:abstractNumId w:val="7"/>
  </w:num>
  <w:num w:numId="23">
    <w:abstractNumId w:val="25"/>
  </w:num>
  <w:num w:numId="24">
    <w:abstractNumId w:val="34"/>
  </w:num>
  <w:num w:numId="25">
    <w:abstractNumId w:val="11"/>
  </w:num>
  <w:num w:numId="26">
    <w:abstractNumId w:val="20"/>
  </w:num>
  <w:num w:numId="27">
    <w:abstractNumId w:val="13"/>
  </w:num>
  <w:num w:numId="28">
    <w:abstractNumId w:val="38"/>
  </w:num>
  <w:num w:numId="29">
    <w:abstractNumId w:val="41"/>
  </w:num>
  <w:num w:numId="30">
    <w:abstractNumId w:val="22"/>
  </w:num>
  <w:num w:numId="31">
    <w:abstractNumId w:val="40"/>
  </w:num>
  <w:num w:numId="32">
    <w:abstractNumId w:val="27"/>
  </w:num>
  <w:num w:numId="33">
    <w:abstractNumId w:val="15"/>
  </w:num>
  <w:num w:numId="34">
    <w:abstractNumId w:val="43"/>
  </w:num>
  <w:num w:numId="35">
    <w:abstractNumId w:val="31"/>
  </w:num>
  <w:num w:numId="36">
    <w:abstractNumId w:val="30"/>
  </w:num>
  <w:num w:numId="37">
    <w:abstractNumId w:val="18"/>
  </w:num>
  <w:num w:numId="38">
    <w:abstractNumId w:val="6"/>
  </w:num>
  <w:num w:numId="39">
    <w:abstractNumId w:val="35"/>
  </w:num>
  <w:num w:numId="40">
    <w:abstractNumId w:val="16"/>
  </w:num>
  <w:num w:numId="41">
    <w:abstractNumId w:val="2"/>
  </w:num>
  <w:num w:numId="42">
    <w:abstractNumId w:val="9"/>
  </w:num>
  <w:num w:numId="43">
    <w:abstractNumId w:val="42"/>
  </w:num>
  <w:num w:numId="44">
    <w:abstractNumId w:val="33"/>
  </w:num>
  <w:num w:numId="45">
    <w:abstractNumId w:val="39"/>
  </w:num>
  <w:num w:numId="46">
    <w:abstractNumId w:val="1"/>
  </w:num>
  <w:num w:numId="47">
    <w:abstractNumId w:val="23"/>
  </w:num>
  <w:num w:numId="48">
    <w:abstractNumId w:val="36"/>
  </w:num>
  <w:num w:numId="4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A9B"/>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92"/>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177"/>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56C"/>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AB0"/>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5F3"/>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3E93"/>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613"/>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679"/>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B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8FE"/>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D03"/>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67F07"/>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DD1"/>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E89"/>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05"/>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rsid w:val="00132177"/>
    <w:rPr>
      <w:lang w:eastAsia="en-US"/>
    </w:rPr>
  </w:style>
  <w:style w:type="character" w:customStyle="1" w:styleId="B2Char">
    <w:name w:val="B2 Char"/>
    <w:link w:val="B2"/>
    <w:qFormat/>
    <w:rsid w:val="00132177"/>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AppData\Local\Temp\Docs\R1-200128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inan.qi\AppData\Local\Temp\Docs\R1-200128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inan.qi\AppData\Local\Temp\Docs\R1-2001288.zip" TargetMode="External"/><Relationship Id="rId4" Type="http://schemas.openxmlformats.org/officeDocument/2006/relationships/settings" Target="settings.xml"/><Relationship Id="rId9" Type="http://schemas.openxmlformats.org/officeDocument/2006/relationships/hyperlink" Target="file:///C:\Users\yinan.qi\AppData\Local\Temp\Docs\R1-2001287.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6298A-56B3-4304-8CE8-E4958A7A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9125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2020-04-09T10:42:00Z</dcterms:created>
  <dcterms:modified xsi:type="dcterms:W3CDTF">2020-04-09T10:42:00Z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